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УДК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удк"/>
    <w:p>
      <w:pPr>
        <w:pStyle w:val="Heading1"/>
      </w:pPr>
      <w:r>
        <w:t xml:space="preserve">Указатель УДК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ATHRU</w:t>
      </w:r>
      <w:r>
        <w:t xml:space="preserve"> </w:t>
      </w:r>
      <w:r>
        <w:t xml:space="preserve">ведёт записи указателя УДК.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DBATHRU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DBATHRU</w:t>
            </w:r>
          </w:p>
        </w:tc>
        <w:tc>
          <w:tcPr/>
          <w:p>
            <w:pPr>
              <w:pStyle w:val="Compact"/>
            </w:pPr>
            <w:r>
              <w:t xml:space="preserve">База указателя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GetUdcNodes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УДК.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ATHRU</w:t>
      </w:r>
      <w:r>
        <w:t xml:space="preserve"> </w:t>
      </w:r>
      <w:r>
        <w:t xml:space="preserve">используются как контролируемый справочник классификационных рубрик УДК.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УДК</dc:title>
  <dc:creator/>
  <cp:keywords/>
  <dcterms:created xsi:type="dcterms:W3CDTF">2026-09-15T13:27:54Z</dcterms:created>
  <dcterms:modified xsi:type="dcterms:W3CDTF">2026-09-15T13:27:54Z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